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EC43C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17.01.2022 №11</w:t>
      </w:r>
      <w:r w:rsidR="003D451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22.02.2022 №74</w:t>
      </w:r>
      <w:r w:rsidR="00466CD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28.03.2022 №116</w:t>
      </w:r>
      <w:r w:rsidR="00A703A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13.05.2022 №185, от 23.05.2022 №204</w:t>
      </w:r>
      <w:r w:rsidR="00A906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24.10.2022 №385, от 21.11.2022 №448</w:t>
      </w:r>
      <w:r w:rsidR="002545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16.12.2022 №503</w:t>
      </w:r>
      <w:r w:rsidR="00B3477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10.03.2023 №97, от 10.03.2023 №98</w:t>
      </w:r>
      <w:r w:rsidR="00AB366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/, от 16.05.2023 №199</w:t>
      </w:r>
      <w:r w:rsidR="005757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26.09.2023 № 424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8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B347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2025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2D6836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1275</w:t>
                  </w:r>
                  <w:r w:rsidR="0063385F" w:rsidRPr="0063385F">
                    <w:rPr>
                      <w:rFonts w:ascii="Times New Roman" w:hAnsi="Times New Roman"/>
                      <w:szCs w:val="18"/>
                    </w:rPr>
                    <w:t>1</w:t>
                  </w:r>
                  <w:r w:rsidR="0063385F" w:rsidRPr="00AB3665">
                    <w:rPr>
                      <w:rFonts w:ascii="Times New Roman" w:hAnsi="Times New Roman"/>
                      <w:szCs w:val="18"/>
                    </w:rPr>
                    <w:t>.12258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2D6836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69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9</w:t>
                  </w:r>
                  <w:r w:rsidR="00466CD2" w:rsidRPr="00466CD2">
                    <w:rPr>
                      <w:rFonts w:ascii="Times New Roman" w:hAnsi="Times New Roman"/>
                      <w:szCs w:val="18"/>
                    </w:rPr>
                    <w:t>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289,5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289,5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B347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уровня 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  й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безработицы до 6,7%;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546" w:type="dxa"/>
        <w:jc w:val="center"/>
        <w:tblInd w:w="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52"/>
        <w:gridCol w:w="850"/>
        <w:gridCol w:w="851"/>
        <w:gridCol w:w="850"/>
        <w:gridCol w:w="709"/>
        <w:gridCol w:w="992"/>
        <w:gridCol w:w="851"/>
        <w:gridCol w:w="708"/>
        <w:gridCol w:w="802"/>
        <w:gridCol w:w="993"/>
        <w:gridCol w:w="957"/>
      </w:tblGrid>
      <w:tr w:rsidR="00B3477F" w:rsidRPr="000224D3" w:rsidTr="00B3477F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46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</w:tr>
      <w:tr w:rsidR="00B3477F" w:rsidRPr="000224D3" w:rsidTr="00B3477F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2D683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1043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1,41178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103,51178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2D683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7</w:t>
                  </w:r>
                  <w:r w:rsidR="00466CD2"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ств дл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A3378E">
        <w:rPr>
          <w:rFonts w:ascii="Times New Roman" w:hAnsi="Times New Roman"/>
          <w:sz w:val="24"/>
          <w:szCs w:val="28"/>
        </w:rPr>
        <w:t>ств дл</w:t>
      </w:r>
      <w:proofErr w:type="gramEnd"/>
      <w:r w:rsidRPr="00A3378E">
        <w:rPr>
          <w:rFonts w:ascii="Times New Roman" w:hAnsi="Times New Roman"/>
          <w:sz w:val="24"/>
          <w:szCs w:val="28"/>
        </w:rPr>
        <w:t>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10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  <w:gridCol w:w="709"/>
        <w:gridCol w:w="709"/>
      </w:tblGrid>
      <w:tr w:rsidR="00D4030B" w:rsidRPr="00B51E99" w:rsidTr="00575735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124" w:type="dxa"/>
            <w:gridSpan w:val="11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B51E99" w:rsidTr="00575735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2D683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1043</w:t>
            </w:r>
            <w:r w:rsid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1,41178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2D683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  <w:r w:rsidR="00D4030B"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«Развитие механизмов реализации инвестиционных проектов в приоритетных областях на территории муниципального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образования «Хоринский район»»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2D683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4030B"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2D683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4030B"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A3378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D4030B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</w:t>
                  </w:r>
                  <w:r w:rsidR="005152FB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</w:t>
                  </w:r>
                  <w:r w:rsidR="009F29B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D4030B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D403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D4030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D403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099" w:type="dxa"/>
        <w:jc w:val="center"/>
        <w:tblInd w:w="12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992"/>
        <w:gridCol w:w="851"/>
        <w:gridCol w:w="845"/>
      </w:tblGrid>
      <w:tr w:rsidR="00D4030B" w:rsidRPr="000224D3" w:rsidTr="00575735">
        <w:trPr>
          <w:trHeight w:val="504"/>
          <w:jc w:val="center"/>
        </w:trPr>
        <w:tc>
          <w:tcPr>
            <w:tcW w:w="245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30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2456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trHeight w:val="200"/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1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c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3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5152FB" w:rsidRPr="00C96163" w:rsidTr="005152FB">
        <w:trPr>
          <w:trHeight w:val="595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5152FB" w:rsidRPr="00C96163" w:rsidTr="005152FB">
        <w:trPr>
          <w:trHeight w:val="538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4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5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5152FB" w:rsidRPr="00C96163" w:rsidTr="005152FB">
        <w:trPr>
          <w:trHeight w:val="800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5152FB" w:rsidRPr="00C96163" w:rsidTr="005152FB">
        <w:trPr>
          <w:trHeight w:val="597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D4030B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5152FB" w:rsidRPr="00C96163" w:rsidTr="005152FB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EA3CF0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A3C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</w:r>
                  <w:r w:rsidR="00EA3CF0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</w:t>
                  </w:r>
                  <w:r w:rsidR="005152FB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2025</w:t>
            </w:r>
            <w:r w:rsidR="005152FB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6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 и организаций инфраструктуры поддержки субъектов малого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781AAA">
        <w:rPr>
          <w:rFonts w:ascii="Times New Roman" w:eastAsia="Calibri" w:hAnsi="Times New Roman" w:cs="Times New Roman"/>
          <w:sz w:val="24"/>
          <w:szCs w:val="24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5152FB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7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имущественная поддержка субъектов малого предпринимательства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8" w:history="1">
        <w:r w:rsidRPr="00BC7594">
          <w:rPr>
            <w:rStyle w:val="affffc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  <w:gridCol w:w="708"/>
        <w:gridCol w:w="708"/>
      </w:tblGrid>
      <w:tr w:rsidR="00D4030B" w:rsidRPr="000224D3" w:rsidTr="00575735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04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781AAA" w:rsidRDefault="00D4030B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9" w:history="1">
              <w:r w:rsidRPr="00BC7594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и имущественная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63385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B3665">
                    <w:rPr>
                      <w:rFonts w:ascii="Times New Roman" w:eastAsia="Times New Roman" w:hAnsi="Times New Roman" w:cs="Times New Roman"/>
                      <w:szCs w:val="18"/>
                    </w:rPr>
                    <w:t>1959.7108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63385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B3665">
                    <w:rPr>
                      <w:rFonts w:ascii="Times New Roman" w:eastAsia="Times New Roman" w:hAnsi="Times New Roman" w:cs="Times New Roman"/>
                      <w:szCs w:val="18"/>
                    </w:rPr>
                    <w:t>1699.7108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26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41" w:type="dxa"/>
        <w:jc w:val="center"/>
        <w:tblInd w:w="3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97"/>
        <w:gridCol w:w="253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  <w:gridCol w:w="851"/>
        <w:gridCol w:w="851"/>
      </w:tblGrid>
      <w:tr w:rsidR="00D4030B" w:rsidRPr="000224D3" w:rsidTr="00575735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9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15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1959.7108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  <w:gridCol w:w="709"/>
      </w:tblGrid>
      <w:tr w:rsidR="00466CD2" w:rsidRPr="006535FE" w:rsidTr="00B3477F">
        <w:tc>
          <w:tcPr>
            <w:tcW w:w="52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c>
          <w:tcPr>
            <w:tcW w:w="52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4735,99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3133,9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8,4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37326,8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41981,4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44590,6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50730,5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1281,533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1487,984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1329,682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1376,6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1379,3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1380,6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49,429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09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136,563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709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CD2" w:rsidRPr="006535FE" w:rsidTr="00B3477F">
        <w:trPr>
          <w:trHeight w:val="284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7,275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7,302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638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  <w:tr w:rsidR="00466CD2" w:rsidRPr="006535FE" w:rsidTr="00B3477F">
        <w:trPr>
          <w:trHeight w:val="515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1800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</w:tbl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17" w:type="dxa"/>
        <w:jc w:val="center"/>
        <w:tblInd w:w="-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407"/>
        <w:gridCol w:w="2976"/>
        <w:gridCol w:w="851"/>
        <w:gridCol w:w="850"/>
        <w:gridCol w:w="851"/>
        <w:gridCol w:w="567"/>
        <w:gridCol w:w="708"/>
        <w:gridCol w:w="993"/>
        <w:gridCol w:w="708"/>
        <w:gridCol w:w="810"/>
        <w:gridCol w:w="1151"/>
        <w:gridCol w:w="788"/>
        <w:gridCol w:w="788"/>
      </w:tblGrid>
      <w:tr w:rsidR="00D4030B" w:rsidRPr="00D4030B" w:rsidTr="00575735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065" w:type="dxa"/>
            <w:gridSpan w:val="11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D4030B" w:rsidRPr="00D4030B" w:rsidTr="00575735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</w:p>
        </w:tc>
      </w:tr>
      <w:tr w:rsidR="00D4030B" w:rsidRPr="00D4030B" w:rsidTr="00575735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2D683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2D683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муниципального образования «Хоринский район»»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профессиональный доход»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«Хоринский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выставки, ярмарки, районные праздники и др.)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2568"/>
        <w:gridCol w:w="2306"/>
        <w:gridCol w:w="708"/>
        <w:gridCol w:w="709"/>
        <w:gridCol w:w="851"/>
        <w:gridCol w:w="708"/>
        <w:gridCol w:w="851"/>
        <w:gridCol w:w="709"/>
        <w:gridCol w:w="891"/>
        <w:gridCol w:w="1087"/>
        <w:gridCol w:w="850"/>
        <w:gridCol w:w="898"/>
        <w:gridCol w:w="1088"/>
      </w:tblGrid>
      <w:tr w:rsidR="00D4030B" w:rsidRPr="00D4030B" w:rsidTr="00575735">
        <w:trPr>
          <w:trHeight w:val="504"/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30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350" w:type="dxa"/>
            <w:gridSpan w:val="11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D4030B" w:rsidTr="00575735">
        <w:trPr>
          <w:trHeight w:val="339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  <w:r w:rsidR="006338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1.12258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74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91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1043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1,41178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bookmarkStart w:id="8" w:name="_GoBack"/>
            <w:bookmarkEnd w:id="8"/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2.6. Основное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«Развитие центров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экономического роста Хоринского района (реализация проекта 1000 дворов)»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</w:t>
            </w: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00"/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D4030B" w:rsidRPr="00D4030B" w:rsidRDefault="00D4030B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«Формирование </w:t>
            </w: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инфраструктуры поддержки малого и среднего предпринимательства»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повышения квалификации кадров»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319"/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4.5.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1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1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8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0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1959.7108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территорий, прилегающих к местам туристского показа в МО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338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36" w:rsidRDefault="002D6836">
      <w:pPr>
        <w:spacing w:after="0" w:line="240" w:lineRule="auto"/>
      </w:pPr>
      <w:r>
        <w:separator/>
      </w:r>
    </w:p>
  </w:endnote>
  <w:endnote w:type="continuationSeparator" w:id="0">
    <w:p w:rsidR="002D6836" w:rsidRDefault="002D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36" w:rsidRDefault="002D6836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36" w:rsidRDefault="002D6836">
      <w:pPr>
        <w:spacing w:after="0" w:line="240" w:lineRule="auto"/>
      </w:pPr>
      <w:r>
        <w:separator/>
      </w:r>
    </w:p>
  </w:footnote>
  <w:footnote w:type="continuationSeparator" w:id="0">
    <w:p w:rsidR="002D6836" w:rsidRDefault="002D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36" w:rsidRPr="00810679" w:rsidRDefault="002D6836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36" w:rsidRPr="00810679" w:rsidRDefault="002D6836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4039"/>
    <w:rsid w:val="000A1419"/>
    <w:rsid w:val="001401EA"/>
    <w:rsid w:val="00154587"/>
    <w:rsid w:val="001B6E6F"/>
    <w:rsid w:val="001E1811"/>
    <w:rsid w:val="00211593"/>
    <w:rsid w:val="00254595"/>
    <w:rsid w:val="002D6836"/>
    <w:rsid w:val="002D795C"/>
    <w:rsid w:val="002E0E88"/>
    <w:rsid w:val="003A53CD"/>
    <w:rsid w:val="003B0317"/>
    <w:rsid w:val="003C1621"/>
    <w:rsid w:val="003D451C"/>
    <w:rsid w:val="00443D11"/>
    <w:rsid w:val="00466CD2"/>
    <w:rsid w:val="00476AE4"/>
    <w:rsid w:val="004C6D76"/>
    <w:rsid w:val="00502A35"/>
    <w:rsid w:val="005152FB"/>
    <w:rsid w:val="00540FE1"/>
    <w:rsid w:val="00560100"/>
    <w:rsid w:val="00575735"/>
    <w:rsid w:val="005909E9"/>
    <w:rsid w:val="005A7195"/>
    <w:rsid w:val="005B14EB"/>
    <w:rsid w:val="005C27DF"/>
    <w:rsid w:val="005D02E8"/>
    <w:rsid w:val="00614872"/>
    <w:rsid w:val="00624A50"/>
    <w:rsid w:val="0063385F"/>
    <w:rsid w:val="006514BF"/>
    <w:rsid w:val="006535FE"/>
    <w:rsid w:val="00677DD6"/>
    <w:rsid w:val="00743349"/>
    <w:rsid w:val="007474A2"/>
    <w:rsid w:val="00772FE1"/>
    <w:rsid w:val="007B484E"/>
    <w:rsid w:val="007C74C4"/>
    <w:rsid w:val="00837C92"/>
    <w:rsid w:val="008A6AF3"/>
    <w:rsid w:val="008C2D05"/>
    <w:rsid w:val="009836A3"/>
    <w:rsid w:val="009C546B"/>
    <w:rsid w:val="009F29B6"/>
    <w:rsid w:val="00A703AA"/>
    <w:rsid w:val="00A90699"/>
    <w:rsid w:val="00AA0B82"/>
    <w:rsid w:val="00AA774C"/>
    <w:rsid w:val="00AB3665"/>
    <w:rsid w:val="00AE5B79"/>
    <w:rsid w:val="00B3477F"/>
    <w:rsid w:val="00B550F5"/>
    <w:rsid w:val="00BF645D"/>
    <w:rsid w:val="00C165F5"/>
    <w:rsid w:val="00C17716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B1CB7"/>
    <w:rsid w:val="00DB7B34"/>
    <w:rsid w:val="00DD6333"/>
    <w:rsid w:val="00E40A37"/>
    <w:rsid w:val="00E55628"/>
    <w:rsid w:val="00EA3CF0"/>
    <w:rsid w:val="00EB24A9"/>
    <w:rsid w:val="00EB61E1"/>
    <w:rsid w:val="00EC43CC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fff0"/>
    <w:uiPriority w:val="59"/>
    <w:rsid w:val="00D4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fff0"/>
    <w:uiPriority w:val="59"/>
    <w:rsid w:val="00D4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89/" TargetMode="Externa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hyperlink" Target="http://www.consultant.ru/document/cons_doc_LAW_38918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hyperlink" Target="http://www.consultant.ru/document/cons_doc_LAW_3891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389189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20318</Words>
  <Characters>115815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2</cp:revision>
  <cp:lastPrinted>2020-07-15T03:18:00Z</cp:lastPrinted>
  <dcterms:created xsi:type="dcterms:W3CDTF">2023-09-26T08:11:00Z</dcterms:created>
  <dcterms:modified xsi:type="dcterms:W3CDTF">2023-09-26T08:11:00Z</dcterms:modified>
</cp:coreProperties>
</file>